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Simulating Disorder </w:t>
      </w:r>
      <w:r>
        <w:rPr>
          <w:rFonts w:ascii="arial" w:hAnsi="arial"/>
          <w:b/>
          <w:bCs/>
          <w:i w:val="false"/>
          <w:caps w:val="false"/>
          <w:smallCaps w:val="false"/>
          <w:color w:val="1D1C1D"/>
          <w:spacing w:val="0"/>
          <w:sz w:val="22"/>
          <w:szCs w:val="22"/>
        </w:rPr>
        <w:t>in</w:t>
      </w:r>
      <w:r>
        <w:rPr>
          <w:rFonts w:ascii="arial" w:hAnsi="arial"/>
          <w:b/>
          <w:bCs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Organic LEDs using L</w:t>
      </w:r>
      <w:r>
        <w:rPr>
          <w:rFonts w:ascii="arial" w:hAnsi="arial"/>
          <w:b/>
          <w:bCs/>
          <w:i w:val="false"/>
          <w:caps w:val="false"/>
          <w:smallCaps w:val="false"/>
          <w:color w:val="1D1C1D"/>
          <w:spacing w:val="0"/>
          <w:sz w:val="22"/>
          <w:szCs w:val="22"/>
        </w:rPr>
        <w:t>arge Scale</w:t>
      </w:r>
      <w:r>
        <w:rPr>
          <w:rFonts w:ascii="arial" w:hAnsi="arial"/>
          <w:b/>
          <w:bCs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Density Functional Theory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Laura Ratcliff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Organic semiconductors have favourable properties for use in devices such as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organic light emitting diodes (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OLEDs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)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, including low cost and light weight. The current generation of OLEDs are based on molecules containing heavy metals, motivating the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use of purely organic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molecules exhibiting thermally activated delayed fluorescence (TADF)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for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efficient and environmentally-friendly devices.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key propert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y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for TADF is a small singlet-triplet splitting, which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is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influenced by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both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internal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disorder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and the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surrounding environment. The computational design of new TADF-based emitters therefore requires a method which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can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calculat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excited states of molecules in large enough systems to account for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these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effects,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while also being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able to handle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 the mixed local/charge transfer excitation character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This has motivated the development of a new method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, named transition-based constrained DFT (T-CDFT), which has a computational cost similar to ground state calculations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and is able treat both local excitations and charge transfer states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In this talk we will introduce T-CDFT,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 xml:space="preserve">showing how its implementation in the linear-scaling BigDFT code provides a framework for including explicit environmental and statistical effects on </w:t>
      </w:r>
      <w:r>
        <w:rPr>
          <w:rFonts w:ascii="arial" w:hAnsi="arial"/>
          <w:b w:val="false"/>
          <w:i w:val="false"/>
          <w:caps w:val="false"/>
          <w:smallCaps w:val="false"/>
          <w:color w:val="1D1C1D"/>
          <w:spacing w:val="0"/>
          <w:sz w:val="22"/>
          <w:szCs w:val="22"/>
        </w:rPr>
        <w:t>excited state calculations of disordered supramolecular materials, including those used in TADF-based OLEDs.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val="bestFit"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LibreOffice/7.3.7.2$Linux_X86_64 LibreOffice_project/30$Build-2</Application>
  <AppVersion>15.0000</AppVersion>
  <Pages>1</Pages>
  <Words>200</Words>
  <Characters>1231</Characters>
  <CharactersWithSpaces>1428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2022-12-08T16:31:46Z</dcterms:created>
  <dc:creator>Laura Ratcliff</dc:creator>
  <dc:description/>
  <dc:language>en-GB</dc:language>
  <cp:lastModifiedBy>Laura Ratcliff</cp:lastModifiedBy>
  <dcterms:modified xsi:type="dcterms:W3CDTF">2022-12-08T16:42:30Z</dcterms:modified>
  <cp:revision>5</cp:revision>
  <dc:subject/>
  <dc:title/>
</cp:coreProperties>
</file>