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35A4" w14:textId="284A4EBC" w:rsidR="00EF39DB" w:rsidRPr="00373293" w:rsidRDefault="00EF39DB" w:rsidP="00373293">
      <w:pPr>
        <w:jc w:val="center"/>
        <w:rPr>
          <w:b/>
          <w:u w:val="single"/>
        </w:rPr>
      </w:pPr>
      <w:r w:rsidRPr="00373293">
        <w:rPr>
          <w:b/>
          <w:u w:val="single"/>
        </w:rPr>
        <w:t>Responsible and Open Science Citizenship</w:t>
      </w:r>
    </w:p>
    <w:p w14:paraId="6B9AAF77" w14:textId="77777777" w:rsidR="00EF39DB" w:rsidRDefault="00EF39DB">
      <w:pPr>
        <w:rPr>
          <w:b/>
        </w:rPr>
      </w:pPr>
    </w:p>
    <w:p w14:paraId="698BD7B1" w14:textId="34DE9704" w:rsidR="00EF39DB" w:rsidRPr="00EF39DB" w:rsidRDefault="00EF39DB">
      <w:pPr>
        <w:rPr>
          <w:u w:val="single"/>
        </w:rPr>
      </w:pPr>
      <w:r w:rsidRPr="00EF39DB">
        <w:rPr>
          <w:u w:val="single"/>
        </w:rPr>
        <w:t xml:space="preserve">Responsible Conduct of Research </w:t>
      </w:r>
    </w:p>
    <w:p w14:paraId="49302337" w14:textId="651242EF" w:rsidR="00373C92" w:rsidRDefault="00EF39DB">
      <w:r w:rsidRPr="00EF39DB">
        <w:drawing>
          <wp:inline distT="0" distB="0" distL="0" distR="0" wp14:anchorId="089EBEAB" wp14:editId="4D05528E">
            <wp:extent cx="5200777" cy="5143500"/>
            <wp:effectExtent l="0" t="0" r="635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853D4D5-3927-6144-A07E-4E5145D049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853D4D5-3927-6144-A07E-4E5145D049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777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EEED" w14:textId="77777777" w:rsidR="00EF39DB" w:rsidRDefault="00EF39DB"/>
    <w:p w14:paraId="1324E1DA" w14:textId="51E21B6C" w:rsidR="00373293" w:rsidRPr="00373293" w:rsidRDefault="00373293">
      <w:r w:rsidRPr="00373293">
        <w:t>Responsible conduct of research consists of a number of different areas of action.  Within these different areas, scientists operate in multiple roles with multiple responsibilities.</w:t>
      </w:r>
    </w:p>
    <w:p w14:paraId="3CD39E87" w14:textId="77777777" w:rsidR="00EF39DB" w:rsidRDefault="00EF39DB">
      <w:pPr>
        <w:rPr>
          <w:u w:val="single"/>
        </w:rPr>
      </w:pPr>
    </w:p>
    <w:p w14:paraId="57EA4898" w14:textId="4FCDFACF" w:rsidR="00000000" w:rsidRPr="00EF39DB" w:rsidRDefault="00D751D8" w:rsidP="00EF39DB">
      <w:pPr>
        <w:numPr>
          <w:ilvl w:val="0"/>
          <w:numId w:val="1"/>
        </w:numPr>
        <w:spacing w:line="360" w:lineRule="auto"/>
      </w:pPr>
      <w:r w:rsidRPr="00EF39DB">
        <w:t>Data producer</w:t>
      </w:r>
      <w:r w:rsidR="00373293">
        <w:t xml:space="preserve"> </w:t>
      </w:r>
    </w:p>
    <w:p w14:paraId="51EFE3A8" w14:textId="322D2BE5" w:rsidR="00000000" w:rsidRPr="00EF39DB" w:rsidRDefault="00D751D8" w:rsidP="00EF39DB">
      <w:pPr>
        <w:numPr>
          <w:ilvl w:val="0"/>
          <w:numId w:val="1"/>
        </w:numPr>
        <w:spacing w:line="360" w:lineRule="auto"/>
      </w:pPr>
      <w:r w:rsidRPr="00EF39DB">
        <w:t>Data user and/or collaborator</w:t>
      </w:r>
      <w:r w:rsidR="00373293">
        <w:t xml:space="preserve"> </w:t>
      </w:r>
    </w:p>
    <w:p w14:paraId="7AFD8835" w14:textId="29D6D81A" w:rsidR="00000000" w:rsidRPr="00EF39DB" w:rsidRDefault="00D751D8" w:rsidP="00EF39DB">
      <w:pPr>
        <w:numPr>
          <w:ilvl w:val="0"/>
          <w:numId w:val="1"/>
        </w:numPr>
        <w:spacing w:line="360" w:lineRule="auto"/>
      </w:pPr>
      <w:r w:rsidRPr="00EF39DB">
        <w:t>Author</w:t>
      </w:r>
      <w:r w:rsidR="00373293">
        <w:t xml:space="preserve"> </w:t>
      </w:r>
    </w:p>
    <w:p w14:paraId="6B5F53D6" w14:textId="77777777" w:rsidR="00000000" w:rsidRPr="00EF39DB" w:rsidRDefault="00D751D8" w:rsidP="00EF39DB">
      <w:pPr>
        <w:numPr>
          <w:ilvl w:val="0"/>
          <w:numId w:val="1"/>
        </w:numPr>
        <w:spacing w:line="360" w:lineRule="auto"/>
      </w:pPr>
      <w:r w:rsidRPr="00EF39DB">
        <w:t>Employee</w:t>
      </w:r>
    </w:p>
    <w:p w14:paraId="432018E0" w14:textId="77777777" w:rsidR="00000000" w:rsidRPr="00EF39DB" w:rsidRDefault="00D751D8" w:rsidP="00EF39DB">
      <w:pPr>
        <w:numPr>
          <w:ilvl w:val="0"/>
          <w:numId w:val="1"/>
        </w:numPr>
        <w:spacing w:line="360" w:lineRule="auto"/>
      </w:pPr>
      <w:r w:rsidRPr="00EF39DB">
        <w:t>Teacher/mentor</w:t>
      </w:r>
    </w:p>
    <w:p w14:paraId="41672503" w14:textId="77777777" w:rsidR="00000000" w:rsidRPr="00EF39DB" w:rsidRDefault="00D751D8" w:rsidP="00EF39DB">
      <w:pPr>
        <w:numPr>
          <w:ilvl w:val="0"/>
          <w:numId w:val="1"/>
        </w:numPr>
        <w:spacing w:line="360" w:lineRule="auto"/>
      </w:pPr>
      <w:r w:rsidRPr="00EF39DB">
        <w:t>Recipient of public funds</w:t>
      </w:r>
    </w:p>
    <w:p w14:paraId="2D03C38D" w14:textId="77777777" w:rsidR="00000000" w:rsidRPr="00EF39DB" w:rsidRDefault="00D751D8" w:rsidP="00EF39DB">
      <w:pPr>
        <w:numPr>
          <w:ilvl w:val="0"/>
          <w:numId w:val="1"/>
        </w:numPr>
        <w:spacing w:line="360" w:lineRule="auto"/>
      </w:pPr>
      <w:r w:rsidRPr="00EF39DB">
        <w:t>Recipient of public trust</w:t>
      </w:r>
    </w:p>
    <w:p w14:paraId="0471BB70" w14:textId="77777777" w:rsidR="00000000" w:rsidRDefault="00D751D8" w:rsidP="00EF39DB">
      <w:pPr>
        <w:numPr>
          <w:ilvl w:val="0"/>
          <w:numId w:val="1"/>
        </w:numPr>
        <w:spacing w:line="360" w:lineRule="auto"/>
      </w:pPr>
      <w:r w:rsidRPr="00EF39DB">
        <w:t>Citizen/legally-obligated individual</w:t>
      </w:r>
    </w:p>
    <w:p w14:paraId="321698CE" w14:textId="77777777" w:rsidR="00EF39DB" w:rsidRDefault="00EF39DB" w:rsidP="00EF39DB">
      <w:pPr>
        <w:spacing w:line="360" w:lineRule="auto"/>
      </w:pPr>
    </w:p>
    <w:p w14:paraId="27F0F3D3" w14:textId="1FD874A9" w:rsidR="00EF39DB" w:rsidRDefault="00EF39DB" w:rsidP="00EF39DB">
      <w:pPr>
        <w:spacing w:line="360" w:lineRule="auto"/>
        <w:rPr>
          <w:u w:val="single"/>
        </w:rPr>
      </w:pPr>
      <w:r>
        <w:rPr>
          <w:u w:val="single"/>
        </w:rPr>
        <w:lastRenderedPageBreak/>
        <w:t>RCR, Open Science and Ethical Norms</w:t>
      </w:r>
    </w:p>
    <w:p w14:paraId="4217A317" w14:textId="77777777" w:rsidR="00EF39DB" w:rsidRDefault="00EF39DB" w:rsidP="00EF39DB">
      <w:pPr>
        <w:spacing w:line="360" w:lineRule="auto"/>
        <w:rPr>
          <w:u w:val="single"/>
        </w:rPr>
      </w:pPr>
    </w:p>
    <w:p w14:paraId="30390B77" w14:textId="719C5929" w:rsidR="00000000" w:rsidRDefault="00D751D8" w:rsidP="00EF39DB">
      <w:pPr>
        <w:spacing w:line="360" w:lineRule="auto"/>
        <w:rPr>
          <w:i/>
        </w:rPr>
      </w:pPr>
      <w:r w:rsidRPr="00EF39DB">
        <w:rPr>
          <w:i/>
        </w:rPr>
        <w:t>P</w:t>
      </w:r>
      <w:r w:rsidRPr="00EF39DB">
        <w:rPr>
          <w:i/>
        </w:rPr>
        <w:t xml:space="preserve">ractice of scientific investigation with </w:t>
      </w:r>
      <w:r w:rsidRPr="00EF39DB">
        <w:rPr>
          <w:i/>
        </w:rPr>
        <w:t>integrity</w:t>
      </w:r>
      <w:r w:rsidR="00EF39DB">
        <w:rPr>
          <w:i/>
        </w:rPr>
        <w:t>.  To enact integrity through open practices</w:t>
      </w:r>
    </w:p>
    <w:p w14:paraId="3031F011" w14:textId="77777777" w:rsidR="00EF39DB" w:rsidRDefault="00EF39DB" w:rsidP="00EF39DB">
      <w:pPr>
        <w:spacing w:line="360" w:lineRule="auto"/>
        <w:rPr>
          <w:i/>
        </w:rPr>
      </w:pPr>
    </w:p>
    <w:p w14:paraId="00BAC5D5" w14:textId="30FE6DC2" w:rsidR="00EF39DB" w:rsidRDefault="00EF39DB" w:rsidP="00EF39DB">
      <w:pPr>
        <w:spacing w:line="360" w:lineRule="auto"/>
        <w:rPr>
          <w:i/>
        </w:rPr>
      </w:pPr>
      <w:r w:rsidRPr="00EF39DB">
        <w:rPr>
          <w:i/>
        </w:rPr>
        <w:drawing>
          <wp:inline distT="0" distB="0" distL="0" distR="0" wp14:anchorId="2BC587DD" wp14:editId="50D28485">
            <wp:extent cx="4275667" cy="1634067"/>
            <wp:effectExtent l="0" t="0" r="4445" b="4445"/>
            <wp:docPr id="91" name="Google Shape;91;p18" descr="https://upload.wikimedia.org/wikipedia/commons/9/9c/Open_Science_-_Prinzipi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gle Shape;91;p18" descr="https://upload.wikimedia.org/wikipedia/commons/9/9c/Open_Science_-_Prinzipien.png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287914" cy="16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2B9E9" w14:textId="188469D9" w:rsidR="00EF39DB" w:rsidRDefault="00EF39DB" w:rsidP="00373293">
      <w:pPr>
        <w:spacing w:line="276" w:lineRule="auto"/>
      </w:pPr>
      <w:r>
        <w:t xml:space="preserve">Open science has many tools through which you can realise your </w:t>
      </w:r>
      <w:r w:rsidR="00373293">
        <w:t xml:space="preserve">responsible and open </w:t>
      </w:r>
      <w:r>
        <w:t>science citizenship</w:t>
      </w:r>
      <w:r w:rsidR="00373293">
        <w:t>.  These tools directly relate to the key norms underpinning science citizenship.</w:t>
      </w:r>
    </w:p>
    <w:p w14:paraId="5AB9EBCB" w14:textId="77777777" w:rsidR="00EF39DB" w:rsidRPr="00EF39DB" w:rsidRDefault="00EF39DB" w:rsidP="00373293">
      <w:pPr>
        <w:spacing w:line="276" w:lineRule="auto"/>
      </w:pPr>
    </w:p>
    <w:p w14:paraId="7D5C343F" w14:textId="59C1096D" w:rsidR="00000000" w:rsidRDefault="00D751D8" w:rsidP="00373293">
      <w:pPr>
        <w:numPr>
          <w:ilvl w:val="0"/>
          <w:numId w:val="3"/>
        </w:numPr>
        <w:spacing w:line="276" w:lineRule="auto"/>
      </w:pPr>
      <w:r w:rsidRPr="00EF39DB">
        <w:t>Beneficence</w:t>
      </w:r>
      <w:r w:rsidR="00EF39DB">
        <w:t xml:space="preserve"> – to ensure that research has the maximal benefits for </w:t>
      </w:r>
      <w:proofErr w:type="gramStart"/>
      <w:r w:rsidR="00EF39DB">
        <w:t>the most</w:t>
      </w:r>
      <w:proofErr w:type="gramEnd"/>
      <w:r w:rsidR="00EF39DB">
        <w:t xml:space="preserve"> number of people</w:t>
      </w:r>
    </w:p>
    <w:p w14:paraId="15976DC5" w14:textId="5867E976" w:rsidR="00EF39DB" w:rsidRPr="00EF39DB" w:rsidRDefault="00EF39DB" w:rsidP="00373293">
      <w:pPr>
        <w:numPr>
          <w:ilvl w:val="1"/>
          <w:numId w:val="3"/>
        </w:numPr>
        <w:spacing w:line="276" w:lineRule="auto"/>
      </w:pPr>
      <w:r>
        <w:t>To engage in research that has demonstrable public good, to share research outputs both within and beyond the academic community to ensure that it is maximally reused</w:t>
      </w:r>
    </w:p>
    <w:p w14:paraId="554D5C5B" w14:textId="0F530E6D" w:rsidR="00000000" w:rsidRDefault="00EF39DB" w:rsidP="00373293">
      <w:pPr>
        <w:numPr>
          <w:ilvl w:val="0"/>
          <w:numId w:val="3"/>
        </w:numPr>
        <w:spacing w:line="276" w:lineRule="auto"/>
      </w:pPr>
      <w:r>
        <w:t>Non-maleficence</w:t>
      </w:r>
    </w:p>
    <w:p w14:paraId="257448D5" w14:textId="2D0765C1" w:rsidR="00EF39DB" w:rsidRPr="00EF39DB" w:rsidRDefault="00EF39DB" w:rsidP="00373293">
      <w:pPr>
        <w:numPr>
          <w:ilvl w:val="1"/>
          <w:numId w:val="3"/>
        </w:numPr>
        <w:spacing w:line="276" w:lineRule="auto"/>
      </w:pPr>
      <w:r>
        <w:t>To scrutinize all research undertakings for instances that can cause harm.  This includes research misconduct as well as unintended harms (</w:t>
      </w:r>
      <w:proofErr w:type="spellStart"/>
      <w:r>
        <w:t>ie</w:t>
      </w:r>
      <w:proofErr w:type="spellEnd"/>
      <w:r>
        <w:t>. introducing biases in algorithms or sharing data that could be used to harm a group of individuals)</w:t>
      </w:r>
    </w:p>
    <w:p w14:paraId="13DCF87C" w14:textId="4CDE147C" w:rsidR="00000000" w:rsidRDefault="00D751D8" w:rsidP="00373293">
      <w:pPr>
        <w:numPr>
          <w:ilvl w:val="0"/>
          <w:numId w:val="3"/>
        </w:numPr>
        <w:spacing w:line="276" w:lineRule="auto"/>
      </w:pPr>
      <w:r w:rsidRPr="00EF39DB">
        <w:t>Accountability</w:t>
      </w:r>
      <w:r w:rsidR="00EF39DB">
        <w:t xml:space="preserve"> and transparency</w:t>
      </w:r>
    </w:p>
    <w:p w14:paraId="0FD76FC3" w14:textId="70388986" w:rsidR="00EF39DB" w:rsidRDefault="00EF39DB" w:rsidP="00373293">
      <w:pPr>
        <w:numPr>
          <w:ilvl w:val="1"/>
          <w:numId w:val="3"/>
        </w:numPr>
        <w:spacing w:line="276" w:lineRule="auto"/>
      </w:pPr>
      <w:r>
        <w:t>To take responsibility for all your research undertakings and be able to report procedures to funders, peers and academic community (</w:t>
      </w:r>
      <w:proofErr w:type="spellStart"/>
      <w:r>
        <w:t>ie</w:t>
      </w:r>
      <w:proofErr w:type="spellEnd"/>
      <w:r>
        <w:t>. RDM and DMP)</w:t>
      </w:r>
    </w:p>
    <w:p w14:paraId="7EC4A864" w14:textId="4400DB9B" w:rsidR="00EF39DB" w:rsidRPr="00EF39DB" w:rsidRDefault="00EF39DB" w:rsidP="00373293">
      <w:pPr>
        <w:numPr>
          <w:ilvl w:val="1"/>
          <w:numId w:val="3"/>
        </w:numPr>
        <w:spacing w:line="276" w:lineRule="auto"/>
      </w:pPr>
      <w:r>
        <w:t>To be willing to engage in the maximal amount of open activities to enable research to be scrutinized (</w:t>
      </w:r>
      <w:proofErr w:type="spellStart"/>
      <w:r>
        <w:t>ie</w:t>
      </w:r>
      <w:proofErr w:type="spellEnd"/>
      <w:r>
        <w:t>. using author tools)</w:t>
      </w:r>
    </w:p>
    <w:p w14:paraId="3B04A245" w14:textId="240B322A" w:rsidR="00000000" w:rsidRDefault="00D751D8" w:rsidP="00373293">
      <w:pPr>
        <w:numPr>
          <w:ilvl w:val="0"/>
          <w:numId w:val="3"/>
        </w:numPr>
        <w:spacing w:line="276" w:lineRule="auto"/>
      </w:pPr>
      <w:r w:rsidRPr="00EF39DB">
        <w:t xml:space="preserve">Collegiality </w:t>
      </w:r>
      <w:r w:rsidR="00EF39DB">
        <w:t xml:space="preserve">– the responsibility to uphold and enhance the scientific community and its activities </w:t>
      </w:r>
    </w:p>
    <w:p w14:paraId="599AD5DC" w14:textId="6612F7D6" w:rsidR="00EF39DB" w:rsidRDefault="00EF39DB" w:rsidP="00373293">
      <w:pPr>
        <w:numPr>
          <w:ilvl w:val="1"/>
          <w:numId w:val="3"/>
        </w:numPr>
        <w:spacing w:line="276" w:lineRule="auto"/>
      </w:pPr>
      <w:r>
        <w:t>Through resource sharing, mentorship, service (</w:t>
      </w:r>
      <w:proofErr w:type="spellStart"/>
      <w:r>
        <w:t>ie</w:t>
      </w:r>
      <w:proofErr w:type="spellEnd"/>
      <w:r>
        <w:t xml:space="preserve">. peer review, contributing to user communities, voluntary activities) </w:t>
      </w:r>
    </w:p>
    <w:p w14:paraId="27AEBDCC" w14:textId="0A987D6B" w:rsidR="00EF39DB" w:rsidRDefault="00EF39DB" w:rsidP="00373293">
      <w:pPr>
        <w:numPr>
          <w:ilvl w:val="0"/>
          <w:numId w:val="3"/>
        </w:numPr>
        <w:spacing w:line="276" w:lineRule="auto"/>
      </w:pPr>
      <w:r>
        <w:t>Justice – fair distribution of scientific resources</w:t>
      </w:r>
    </w:p>
    <w:p w14:paraId="6FF5A1F2" w14:textId="56C22899" w:rsidR="00EF39DB" w:rsidRPr="00EF39DB" w:rsidRDefault="00EF39DB" w:rsidP="00373293">
      <w:pPr>
        <w:numPr>
          <w:ilvl w:val="1"/>
          <w:numId w:val="3"/>
        </w:numPr>
        <w:spacing w:line="276" w:lineRule="auto"/>
      </w:pPr>
      <w:r>
        <w:t>Scrutinizing databases, sharing platforms and practices of sharing to ensure that no groups of potential users are unintentionally marginalized</w:t>
      </w:r>
    </w:p>
    <w:p w14:paraId="1D758839" w14:textId="77777777" w:rsidR="00EF39DB" w:rsidRPr="00EF39DB" w:rsidRDefault="00EF39DB">
      <w:pPr>
        <w:rPr>
          <w:u w:val="single"/>
        </w:rPr>
      </w:pPr>
      <w:bookmarkStart w:id="0" w:name="_GoBack"/>
      <w:bookmarkEnd w:id="0"/>
    </w:p>
    <w:sectPr w:rsidR="00EF39DB" w:rsidRPr="00EF39DB" w:rsidSect="00101B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5ACF"/>
    <w:multiLevelType w:val="hybridMultilevel"/>
    <w:tmpl w:val="1BACFFEC"/>
    <w:lvl w:ilvl="0" w:tplc="9EA0CC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C427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CB3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E20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B6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1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2E7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CE6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2EA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CE0AC4"/>
    <w:multiLevelType w:val="hybridMultilevel"/>
    <w:tmpl w:val="5030C10E"/>
    <w:lvl w:ilvl="0" w:tplc="BFFA52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063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0C4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05C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1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E2D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C07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8CA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006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3C59A8"/>
    <w:multiLevelType w:val="hybridMultilevel"/>
    <w:tmpl w:val="94BA0DCC"/>
    <w:lvl w:ilvl="0" w:tplc="CA48AF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0FC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A7D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E0B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2E9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66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AFB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602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85B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B"/>
    <w:rsid w:val="00101B5B"/>
    <w:rsid w:val="002952CC"/>
    <w:rsid w:val="00373293"/>
    <w:rsid w:val="00707D53"/>
    <w:rsid w:val="00BF7440"/>
    <w:rsid w:val="00D751D8"/>
    <w:rsid w:val="00E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6F159"/>
  <w14:defaultImageDpi w14:val="32767"/>
  <w15:chartTrackingRefBased/>
  <w15:docId w15:val="{D5A4F6A4-F4A8-1A4B-9C59-9097F72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982">
          <w:marLeft w:val="67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Bezuidenhout</dc:creator>
  <cp:keywords/>
  <dc:description/>
  <cp:lastModifiedBy>Louise Bezuidenhout</cp:lastModifiedBy>
  <cp:revision>1</cp:revision>
  <dcterms:created xsi:type="dcterms:W3CDTF">2018-08-07T09:12:00Z</dcterms:created>
  <dcterms:modified xsi:type="dcterms:W3CDTF">2018-08-07T09:35:00Z</dcterms:modified>
</cp:coreProperties>
</file>